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Инструкция по нанесению атмосферостойкой комбинированной огнезащитной системы «ТЕХНО-КМБ» и эксплуатации покрытия на ее основе.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№ ИНЭ-00</w:t>
      </w:r>
      <w:r>
        <w:rPr>
          <w:b/>
          <w:bCs/>
          <w:lang w:val="ru-RU"/>
        </w:rPr>
        <w:t xml:space="preserve">7</w:t>
      </w:r>
      <w:r>
        <w:rPr>
          <w:b/>
          <w:bCs/>
          <w:lang w:val="ru-RU"/>
        </w:rPr>
        <w:t xml:space="preserve">-2025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1</w:t>
      </w:r>
      <w:r>
        <w:rPr>
          <w:b/>
          <w:bCs/>
          <w:lang w:val="ru-RU"/>
        </w:rPr>
        <w:tab/>
        <w:t xml:space="preserve">Общая характеристика системы и покрытия на ее основе. Область применения.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1.1</w:t>
      </w:r>
      <w:r>
        <w:rPr>
          <w:lang w:val="ru-RU"/>
        </w:rPr>
        <w:tab/>
        <w:t xml:space="preserve">Настоящая инструкция распространяется на правила производства работ по нанесению комбинированной огнезащитной системы</w:t>
      </w:r>
      <w:r>
        <w:rPr>
          <w:b/>
          <w:bCs/>
          <w:lang w:val="ru-RU"/>
        </w:rPr>
        <w:t xml:space="preserve"> </w:t>
      </w:r>
      <w:r>
        <w:rPr>
          <w:lang w:val="ru-RU"/>
        </w:rPr>
        <w:t xml:space="preserve">«ТЕХНО-КМБ», (далее система, огнезащитная система). Система является двухослойной и состоит из огнезащитного толстослойного состава «ТЕХНО-ОК1», выпускаемого по Т</w:t>
      </w:r>
      <w:r>
        <w:rPr>
          <w:lang w:val="ru-RU"/>
        </w:rPr>
        <w:t xml:space="preserve">У 20.30.12-109-28451069-2023 и огнезащитной краски «ТЕХНО-АТМ1», выпускаемой по ТУ 20.30.12-110-28451069-2024. Инструкция регламентирует правила транспортировки и хранения состава и краски, правила безопасности при производстве окрасочных работ, правила эк</w:t>
      </w:r>
      <w:r>
        <w:rPr>
          <w:lang w:val="ru-RU"/>
        </w:rPr>
        <w:t xml:space="preserve">сплуатации покрытия на основе покрытия, на основе комбинированной системы (далее огнезащитное покрытие, комбинированное покрытие). Правила и требования, изложенные в настоящей инструкции, являются обязательными при проведении работ и эксплуатации покрытия.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1.2</w:t>
      </w:r>
      <w:r>
        <w:rPr>
          <w:lang w:val="ru-RU"/>
        </w:rPr>
        <w:tab/>
        <w:t xml:space="preserve">Покрытие на основе комбинированной огнезащитной системы</w:t>
      </w:r>
      <w:r>
        <w:rPr>
          <w:b/>
          <w:bCs/>
          <w:lang w:val="ru-RU"/>
        </w:rPr>
        <w:t xml:space="preserve"> </w:t>
      </w:r>
      <w:r>
        <w:rPr>
          <w:lang w:val="ru-RU"/>
        </w:rPr>
        <w:t xml:space="preserve">«ТЕХНО-КМБ» предназначено для повышения предела огнестойкости несущих и ограждающих металличе</w:t>
      </w:r>
      <w:r>
        <w:rPr>
          <w:lang w:val="ru-RU"/>
        </w:rPr>
        <w:t xml:space="preserve">ских конструкций во всех типах зданий и сооружений в соответствии с требованиями технического регламента ТР ЕАЭС 043/2017 Технический регламент Евразийского экономического союза «О требованиях к средствам обеспечения пожарной безопасности и пожаротушения».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1.3</w:t>
      </w:r>
      <w:r>
        <w:rPr>
          <w:lang w:val="ru-RU"/>
        </w:rPr>
        <w:tab/>
        <w:t xml:space="preserve">Огнезащитный состав «ТЕХНО-ОК1» представляет собой однородную суспензию антипиренов, пигментов, наполнителей с низким коэффициентом теплопроводности и функциональных добавок в растворе модифицированного акрилового сополимера в смеси органи</w:t>
      </w:r>
      <w:r>
        <w:rPr>
          <w:lang w:val="ru-RU"/>
        </w:rPr>
        <w:t xml:space="preserve">ческих растворителей. Огнезащитная краска «ТЕХНО-АТМ1» представляет собой однородную суспензию антипиренов (интеркалированного графита), пигментов, наполнителей и функциональных добавок в растворе синтетического полимера в смеси органических растворителей.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1.4</w:t>
      </w:r>
      <w:r>
        <w:rPr>
          <w:lang w:val="ru-RU"/>
        </w:rPr>
        <w:tab/>
        <w:t xml:space="preserve">Огнезащитные свойства комбинированного покрытия соотв</w:t>
      </w:r>
      <w:r>
        <w:rPr>
          <w:lang w:val="ru-RU"/>
        </w:rPr>
        <w:t xml:space="preserve">етствуют требованиям ТР ЕАЭС 043/2017 и ГОСТ Р 53295-2009 с изм.1 «Средства огнезащиты для стальных конструкций. Общие требования. Метод определения огнезащитной эффективности», ГОСТ 30247.0-94 «Конструкции строительные. Методы испытаний на огнестойкость».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1.5</w:t>
      </w:r>
      <w:r>
        <w:rPr>
          <w:lang w:val="ru-RU"/>
        </w:rPr>
        <w:tab/>
        <w:t xml:space="preserve">Покрытие на основе системы может применяться для</w:t>
      </w:r>
      <w:r>
        <w:rPr>
          <w:lang w:val="ru-RU"/>
        </w:rPr>
        <w:t xml:space="preserve"> обеспечения огнестойкости несущих элементов зданий I и II степеней огнестойкости с приведенной толщиной металла по ГОСТ Р 53295 менее 5,8 мм, согласно требованиям СП 2.13130.2020 «Системы противопожарной защиты. Обеспечение огнестойкости объектов защиты».</w:t>
      </w:r>
      <w:r>
        <w:rPr>
          <w:lang w:val="ru-RU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-71436</wp:posOffset>
                </wp:positionH>
                <wp:positionV relativeFrom="page">
                  <wp:posOffset>-18037</wp:posOffset>
                </wp:positionV>
                <wp:extent cx="7772400" cy="1648400"/>
                <wp:effectExtent l="0" t="0" r="0" b="0"/>
                <wp:wrapSquare wrapText="bothSides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772400" cy="1648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58240;o:allowoverlap:true;o:allowincell:true;mso-position-horizontal-relative:page;margin-left:-5.62pt;mso-position-horizontal:absolute;mso-position-vertical-relative:page;margin-top:-1.42pt;mso-position-vertical:absolute;width:612.00pt;height:129.80pt;mso-wrap-distance-left:0.00pt;mso-wrap-distance-top:0.00pt;mso-wrap-distance-right:0.00pt;mso-wrap-distance-bottom:0.00pt;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lang w:val="ru-RU"/>
        </w:rPr>
        <w:t xml:space="preserve">1.6</w:t>
      </w:r>
      <w:r>
        <w:rPr>
          <w:lang w:val="ru-RU"/>
        </w:rPr>
        <w:tab/>
        <w:t xml:space="preserve">Нанесение состава и краски производится только персоналом, прошедшим специальное обучение! </w:t>
      </w:r>
      <w:r/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2</w:t>
      </w:r>
      <w:r>
        <w:rPr>
          <w:b/>
          <w:bCs/>
          <w:lang w:val="ru-RU"/>
        </w:rPr>
        <w:tab/>
        <w:t xml:space="preserve">Технические характеристики компонентов системы.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2.1</w:t>
      </w:r>
      <w:r>
        <w:rPr>
          <w:lang w:val="ru-RU"/>
        </w:rPr>
        <w:tab/>
        <w:t xml:space="preserve">Огнезащитный состав «ТЕХНО-ОК1» поставляется в г</w:t>
      </w:r>
      <w:r>
        <w:rPr>
          <w:lang w:val="ru-RU"/>
        </w:rPr>
        <w:t xml:space="preserve">отовом для нанесения виде в таре завода изготовителя. Огнезащитный состав должен соответствовать требованиям технических условий ТУ 20.30.12-109-28451069-2023. Упаковка и маркировка состава должна соответствовать требованиям ТУ 20.30.12-109-28451069-2023.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2.2</w:t>
      </w:r>
      <w:r>
        <w:rPr>
          <w:lang w:val="ru-RU"/>
        </w:rPr>
        <w:tab/>
        <w:t xml:space="preserve">Огнезащитная краска «ТЕХНО-АТМ1» должен соответствовать требова</w:t>
      </w:r>
      <w:r>
        <w:rPr>
          <w:lang w:val="ru-RU"/>
        </w:rPr>
        <w:t xml:space="preserve">ниям технических условий ТУ 20.30.12-110-28451069-2024. Огнезащитная краска должна соответствовать требованиям технических условий ТУ 20.30.12-110-28451069-2024. Упаковка и маркировка краски должна соответствовать требованиям ТУ 20.30.12-110-28451069-2024.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2.3</w:t>
      </w:r>
      <w:r>
        <w:rPr>
          <w:lang w:val="ru-RU"/>
        </w:rPr>
        <w:tab/>
        <w:t xml:space="preserve">Свойства состава «ТЕХНО-ОК1» и покрытия на его основе приведены в таблице №1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80"/>
        <w:rPr>
          <w:b/>
        </w:rPr>
      </w:pPr>
      <w:r>
        <w:rPr>
          <w:lang w:val="ru-RU"/>
        </w:rPr>
        <w:t xml:space="preserve">Таблица 1</w:t>
      </w:r>
      <w:r>
        <w:rPr>
          <w:sz w:val="28"/>
          <w:szCs w:val="28"/>
        </w:rPr>
        <w:t xml:space="preserve"> </w:t>
      </w:r>
      <w:r>
        <w:rPr>
          <w:b/>
        </w:rPr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"/>
        <w:gridCol w:w="4819"/>
        <w:gridCol w:w="3827"/>
      </w:tblGrid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rPr>
                <w:b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rPr>
                <w:b/>
              </w:rPr>
              <w:t xml:space="preserve">Наименование 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rPr>
                <w:b/>
              </w:rPr>
              <w:t xml:space="preserve">Норма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r>
              <w:t xml:space="preserve">Цвет и внешний вид состава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ind w:firstLine="12"/>
              <w:jc w:val="center"/>
            </w:pPr>
            <w:r>
              <w:rPr>
                <w:szCs w:val="28"/>
              </w:rPr>
              <w:t xml:space="preserve">Однородная высоковязкая масса</w:t>
            </w:r>
            <w:r>
              <w:t xml:space="preserve"> белого или серого цвета, оттенок не нормируется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r>
              <w:t xml:space="preserve">Цвет, внешний вид и блеск покрытия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ind w:firstLine="12"/>
              <w:jc w:val="center"/>
            </w:pPr>
            <w:r>
              <w:rPr>
                <w:szCs w:val="28"/>
              </w:rPr>
              <w:t xml:space="preserve">Белое или серое, матовое, допускается разнооттеночность, без посторонних включений. 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ind w:firstLine="12"/>
            </w:pPr>
            <w:r>
              <w:t xml:space="preserve">Массовая доля нелетучих веществ, масс. 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ind w:firstLine="12"/>
              <w:jc w:val="center"/>
            </w:pPr>
            <w:r>
              <w:t xml:space="preserve">71±5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r>
              <w:t xml:space="preserve">Объемная доля нелетучих веществ, %, не менее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65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r>
              <w:t xml:space="preserve">Плотность, кг/м3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700-900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r>
              <w:t xml:space="preserve">Кажущаяся вязкость состава, мПа*с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125000±15000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r>
              <w:t xml:space="preserve">Степень перетира, мкм, не более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r>
              <w:t xml:space="preserve">Время высыхания покрытия до ст.3, при температуре 20±2ºС, час, не более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r>
              <w:t xml:space="preserve">Адгезия покрытия к металлической подложке методом X-образного надреза, балл, не более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2.4</w:t>
      </w:r>
      <w:r>
        <w:rPr>
          <w:lang w:val="ru-RU"/>
        </w:rPr>
        <w:tab/>
        <w:t xml:space="preserve">Свойства краски «ТЕХНО-АТМ1» и покрытия на ее основе приведены в таблице №2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80"/>
        <w:rPr>
          <w:b/>
        </w:rPr>
      </w:pPr>
      <w:r>
        <w:rPr>
          <w:lang w:val="ru-RU"/>
        </w:rPr>
        <w:t xml:space="preserve">Таблица 2 </w:t>
      </w:r>
      <w:r>
        <w:rPr>
          <w:b/>
        </w:rPr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101"/>
        <w:gridCol w:w="4961"/>
        <w:gridCol w:w="3685"/>
      </w:tblGrid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rPr>
                <w:b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rPr>
                <w:b/>
              </w:rPr>
              <w:t xml:space="preserve">Наименование 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rPr>
                <w:b/>
              </w:rPr>
              <w:t xml:space="preserve">Норма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pStyle w:val="746"/>
              <w:tabs>
                <w:tab w:val="left" w:pos="4536" w:leader="none"/>
              </w:tabs>
            </w:pPr>
            <w:r>
              <w:t xml:space="preserve">Внешний вид краски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Однородная высоковязкая масса от серого до темно-серого цвета</w:t>
            </w:r>
            <w:r>
              <w:rPr>
                <w:lang w:val="ru-RU"/>
              </w:rPr>
            </w:r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pStyle w:val="746"/>
              <w:tabs>
                <w:tab w:val="left" w:pos="4536" w:leader="none"/>
              </w:tabs>
            </w:pPr>
            <w:r>
              <w:t xml:space="preserve">Цвет и блеск покрытия краски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 серого до темно-серого, матовое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pStyle w:val="746"/>
              <w:tabs>
                <w:tab w:val="left" w:pos="4536" w:leader="none"/>
              </w:tabs>
            </w:pPr>
            <w:r>
              <w:t xml:space="preserve">Массовая доля нелетучих веществ, % масс.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70±3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pStyle w:val="746"/>
              <w:tabs>
                <w:tab w:val="left" w:pos="4536" w:leader="none"/>
              </w:tabs>
            </w:pPr>
            <w:r>
              <w:t xml:space="preserve">Плотность краски, кг/м</w:t>
            </w:r>
            <w:r>
              <w:rPr>
                <w:vertAlign w:val="superscript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1150-1250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shd w:val="clear" w:color="auto" w:fill="ffffff"/>
              <w:widowControl w:val="off"/>
            </w:pPr>
            <w:r>
              <w:rPr>
                <w:spacing w:val="-2"/>
              </w:rPr>
              <w:t xml:space="preserve">Кажущаяся вязкость краски, мПа*с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75000±10000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pStyle w:val="746"/>
              <w:tabs>
                <w:tab w:val="left" w:pos="4536" w:leader="none"/>
              </w:tabs>
            </w:pPr>
            <w:r>
              <w:t xml:space="preserve">Степень перетира, мкм, не более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150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shd w:val="clear" w:color="auto" w:fill="ffffff"/>
              <w:widowControl w:val="off"/>
            </w:pPr>
            <w:r>
              <w:rPr>
                <w:spacing w:val="-2"/>
              </w:rPr>
              <w:t xml:space="preserve">Время высыхания до степени 3, ч, не более</w:t>
            </w:r>
            <w:r>
              <w:t xml:space="preserve"> </w:t>
            </w:r>
            <w:r>
              <w:rPr>
                <w:spacing w:val="-2"/>
              </w:rPr>
              <w:t xml:space="preserve">при температуре 20°C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6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shd w:val="clear" w:color="auto" w:fill="ffffff"/>
              <w:widowControl w:val="off"/>
            </w:pPr>
            <w:r>
              <w:rPr>
                <w:spacing w:val="-2"/>
              </w:rPr>
              <w:t xml:space="preserve">Адгезия покрытия методом крестообразного надрезана, балл, не более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2</w:t>
            </w:r>
            <w:r/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textDirection w:val="lrTb"/>
            <w:noWrap w:val="false"/>
          </w:tcPr>
          <w:p>
            <w:pPr>
              <w:shd w:val="clear" w:color="auto" w:fill="ffffff"/>
              <w:widowControl w:val="off"/>
            </w:pPr>
            <w:r>
              <w:rPr>
                <w:spacing w:val="-2"/>
              </w:rPr>
              <w:t xml:space="preserve">Кратность вспучивания, ед, не менее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746"/>
              <w:jc w:val="center"/>
              <w:tabs>
                <w:tab w:val="left" w:pos="4536" w:leader="none"/>
              </w:tabs>
            </w:pPr>
            <w:r>
              <w:t xml:space="preserve">30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3</w:t>
      </w:r>
      <w:r>
        <w:rPr>
          <w:b/>
          <w:bCs/>
          <w:lang w:val="ru-RU"/>
        </w:rPr>
        <w:tab/>
        <w:t xml:space="preserve">Порядок нанесения комбинированной огнезащитной системы.</w:t>
      </w: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3.1</w:t>
      </w:r>
      <w:r>
        <w:rPr>
          <w:lang w:val="ru-RU"/>
        </w:rPr>
        <w:tab/>
        <w:t xml:space="preserve">Подготовка поверхности металлических конструкций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3.1.1</w:t>
      </w:r>
      <w:r>
        <w:rPr>
          <w:lang w:val="ru-RU"/>
        </w:rPr>
        <w:tab/>
        <w:t xml:space="preserve">Стальные конструкции перед нанесением состава должны быть очищены от старого лакокрасочного покрытия (огнезащитного, антикоррозионного, консервационного), при наличии такового.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3.1.2</w:t>
      </w:r>
      <w:r>
        <w:rPr>
          <w:lang w:val="ru-RU"/>
        </w:rPr>
        <w:tab/>
        <w:t xml:space="preserve">Ржавчина и окалина удаляется механическим способом: струйной очисткой не менее чем до степени 2 по ГОСТ 9.402 или до степени степень Sa2 1/</w:t>
      </w:r>
      <w:r>
        <w:rPr>
          <w:vertAlign w:val="subscript"/>
          <w:lang w:val="ru-RU"/>
        </w:rPr>
        <w:t xml:space="preserve">2</w:t>
      </w:r>
      <w:r>
        <w:rPr>
          <w:lang w:val="ru-RU"/>
        </w:rPr>
        <w:t xml:space="preserve"> по ГОСТ Р ИСО 8501-1 (в труднодоступных местах допускается степень Sa2). Допускается производить ручную очистку при помощи металлических щеток или шлифовальных машинок до степени St2 по ГОСТ Р ИСО 8501-1.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3.1.3</w:t>
      </w:r>
      <w:r>
        <w:rPr>
          <w:lang w:val="ru-RU"/>
        </w:rPr>
        <w:tab/>
        <w:t xml:space="preserve">Образующаяся пыль, грязь, масляные или жировые пятна удаляются моющими растворами или растворителями. Степень обезжириван</w:t>
      </w:r>
      <w:r>
        <w:rPr>
          <w:lang w:val="ru-RU"/>
        </w:rPr>
        <w:t xml:space="preserve">ия - 1 по ГОСТ 9.402. Рекомендуется применять растворители «Р-646», «Р-650», Р-4, ацетон, толуол, ортоксилол. Не допускается использовать уайт-спирит, керосин, бензин или сольвент нефтяной! После обработки поверхность конструкций обязательно высушивается!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3.1.4</w:t>
      </w:r>
      <w:r>
        <w:rPr>
          <w:lang w:val="ru-RU"/>
        </w:rPr>
        <w:tab/>
        <w:t xml:space="preserve">Допускается иная подготовка поверхности описанная в ГОСТ 9.402 или ГОСТ Р ИСО 8501-1 по письменному согласованию со специалистами ООО «МО АЛИАЛ».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3.1.5</w:t>
      </w:r>
      <w:r>
        <w:rPr>
          <w:lang w:val="ru-RU"/>
        </w:rPr>
        <w:tab/>
        <w:t xml:space="preserve">Работы по подготовке поверхности фиксируются производителем работ с обязательным составлением акта скрытых работ.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3.2</w:t>
      </w:r>
      <w:r>
        <w:rPr>
          <w:lang w:val="ru-RU"/>
        </w:rPr>
        <w:tab/>
        <w:t xml:space="preserve">Нанесение антикоррозионного (грунтовочного)</w:t>
      </w:r>
      <w:r>
        <w:rPr>
          <w:lang w:val="ru-RU"/>
        </w:rPr>
        <w:tab/>
        <w:t xml:space="preserve"> покрытия.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3.2.1</w:t>
      </w:r>
      <w:r>
        <w:rPr>
          <w:lang w:val="ru-RU"/>
        </w:rPr>
        <w:tab/>
        <w:t xml:space="preserve">Нанесение антикоррозионного (грунтовочного) покрытия производится только на подготовленные согласно п. 3.1 настоящей инструкции поверхности.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3.2.2</w:t>
      </w:r>
      <w:r>
        <w:rPr>
          <w:lang w:val="ru-RU"/>
        </w:rPr>
        <w:tab/>
        <w:t xml:space="preserve">Подготовленные конструкции обрабатываются антикоррозионными грунтовками. Рекомендуемые грунтовки ГФ-021 (ГОСТ 25129-2021), ФЛ-03К (ГОСТ 9109-81), ЭП-0199 (ТУ 6-10-2084-86), грунт-эмаль СТОПКОР-100 (ТУ 20.30.22-105-</w:t>
      </w:r>
      <w:r>
        <w:rPr>
          <w:lang w:val="ru-RU"/>
        </w:rPr>
        <w:t xml:space="preserve">28451069-2022), грунт-эмаль СТОПКОР-110 (ТУ 20.30.12-107-28451069-2024), СТОПКОР-200 (ТУ 2</w:t>
      </w:r>
      <w:r>
        <w:rPr>
          <w:lang w:val="ru-RU"/>
        </w:rPr>
        <w:t xml:space="preserve">0.30.22-103-28451069-2022). Нанесение грунтовок производится согласно документации предприятия-изготовителя на лакокрасочный материал. Итоговая толщина покрытия грунтовки должна быть не менее 50-60 мкм (если другая толщина не указана в проекте огнезащиты).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3.2.3</w:t>
      </w:r>
      <w:r>
        <w:rPr>
          <w:lang w:val="ru-RU"/>
        </w:rPr>
        <w:tab/>
        <w:t xml:space="preserve">При использовании других антикоррозионных грунтовок необходимо согласовать их применение со специалистами ООО «МО АЛИАЛ»!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3.2.4</w:t>
      </w:r>
      <w:r>
        <w:rPr>
          <w:lang w:val="ru-RU"/>
        </w:rPr>
        <w:tab/>
        <w:t xml:space="preserve">Работы по грунтованию металлической поверхности фиксируются производителем работ с обязательным составлением акта скрытых работ. При приемке работ по грунтованию оценивается:</w:t>
      </w:r>
      <w:r>
        <w:rPr>
          <w:lang w:val="ru-RU"/>
        </w:rPr>
      </w:r>
    </w:p>
    <w:p>
      <w:pPr>
        <w:numPr>
          <w:ilvl w:val="0"/>
          <w:numId w:val="1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внешний вид покрытия грунтовки (визуально) - покрытие должно соответствовать требованиям предприятия-изготовителя грунтовки и должно обеспечивать 100% укрывистость поверхности конструкций;</w:t>
      </w:r>
      <w:r>
        <w:rPr>
          <w:lang w:val="ru-RU"/>
        </w:rPr>
      </w:r>
    </w:p>
    <w:p>
      <w:pPr>
        <w:numPr>
          <w:ilvl w:val="0"/>
          <w:numId w:val="1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толщина покрытия (по ГОСТ Р 31993-2013) - средняя толщина покрытия должна соответствовать проектной или соответствовать п. 3.2.2 настоящей инструкции.</w:t>
      </w:r>
      <w:r>
        <w:rPr>
          <w:lang w:val="ru-RU"/>
        </w:rPr>
      </w:r>
    </w:p>
    <w:p>
      <w:pPr>
        <w:numPr>
          <w:ilvl w:val="0"/>
          <w:numId w:val="1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адгезия грунтовочного покрытия (по ГОСТ 15140-78) – не более 1 балла (если иное не указанно в нормативной документации) по методу решетчатых надрезов.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3.2.5</w:t>
      </w:r>
      <w:r>
        <w:rPr>
          <w:lang w:val="ru-RU"/>
        </w:rPr>
        <w:tab/>
        <w:t xml:space="preserve">Нанесенный с нарушениями грунтовочный слой может привести к ухудшению заявленных свойств огнезащитного покрытия и снижению срока эксплуатации.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3.3</w:t>
      </w:r>
      <w:r>
        <w:rPr>
          <w:lang w:val="ru-RU"/>
        </w:rPr>
        <w:tab/>
        <w:t xml:space="preserve">Входной контроль огнезащитного состава и огнезащитной краски.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3.3.1</w:t>
      </w:r>
      <w:r>
        <w:rPr>
          <w:lang w:val="ru-RU"/>
        </w:rPr>
        <w:tab/>
        <w:t xml:space="preserve">Входной контроль составляющих системы осуществляется производителем работ непосредственно на объекте. Результаты входного контроля заносятся в журнал входного контроля (при его наличии).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3.3.2</w:t>
      </w:r>
      <w:r>
        <w:rPr>
          <w:lang w:val="ru-RU"/>
        </w:rPr>
        <w:tab/>
        <w:t xml:space="preserve">При поставке огнезащитного состава «ТЕХНО-ОК1» и огнезащитной краски «ТЕХНО-АТМ» в качестве сопроводительных д</w:t>
      </w:r>
      <w:r>
        <w:rPr>
          <w:lang w:val="ru-RU"/>
        </w:rPr>
        <w:t xml:space="preserve">окументов должны предоставляться – отгрузочные документы с указанием количестве тарных мест и количества состава, паспорта качества на отгруженную партию, копии сертификатов соответствия (с указанием компании-покупателя и количества отгруженной продукции).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3.3.3</w:t>
      </w:r>
      <w:r>
        <w:rPr>
          <w:lang w:val="ru-RU"/>
        </w:rPr>
        <w:tab/>
        <w:t xml:space="preserve">При входном контроле огнезащитного состава «ТЕХНО-ОК1» и огнезащитной краски «ТЕ</w:t>
      </w:r>
      <w:r>
        <w:rPr>
          <w:lang w:val="ru-RU"/>
        </w:rPr>
        <w:t xml:space="preserve">ХНО-АТМ» необходимо выборочно проверить целостность упаковки, наименование и номер партии состава, срок годности продукции. Не допускается применять состав с нарушенной упаковкой или с истекшим сроком годности без письменного согласования с ООО «МО АЛИАЛ».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3.4</w:t>
      </w:r>
      <w:r>
        <w:rPr>
          <w:lang w:val="ru-RU"/>
        </w:rPr>
        <w:tab/>
        <w:t xml:space="preserve">Подготовка состава и краски для нанесения.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3.4.1</w:t>
      </w:r>
      <w:r>
        <w:rPr>
          <w:lang w:val="ru-RU"/>
        </w:rPr>
        <w:tab/>
        <w:t xml:space="preserve">Перед применением огнезащитный состав и огнезащитную краску обязательно тщательно перемешать при помощи электрического мик</w:t>
      </w:r>
      <w:r>
        <w:rPr>
          <w:lang w:val="ru-RU"/>
        </w:rPr>
        <w:t xml:space="preserve">сера с винтовой насадкой или с помощью тихоходной дрели (не более 400 об/мин) с винтовой насадкой в течение 7-10 минут до полной однородности по всей таре. При хранении и транспортировке возможно расслоение продукции. Это не является браковочным признаком!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3.4.2</w:t>
      </w:r>
      <w:r>
        <w:rPr>
          <w:lang w:val="ru-RU"/>
        </w:rPr>
        <w:tab/>
        <w:t xml:space="preserve">При необходимости состав «ТЕХНО-ОК1» можно разбавить до рабочей вязкости растворителем. Рекомендуемые растворители - ортоксилол (ТУ 38.101254-72), толуол (ГОСТ 14710-78), Р-4 (ГОСТ 7827-74),</w:t>
      </w:r>
      <w:r>
        <w:rPr>
          <w:lang w:val="ru-RU"/>
        </w:rPr>
        <w:t xml:space="preserve"> Р-646 (ГОСТ 18188-2020), но в количестве не более 10% от массы состава. Огнезащитную краску «ТЕХНО-АТМ» можно разбавить до рабочей вязкости. Рекомендуемый растворитель ортоксилол (ТУ 38.101254-72), «Р-4» (ГОСТ 7827-74), толуол (ГОСТ 14710-78). Количество </w:t>
      </w:r>
      <w:r>
        <w:rPr>
          <w:lang w:val="ru-RU"/>
        </w:rPr>
        <w:t xml:space="preserve">добавляемого растворителя не более 10% от массы краски. После добавления растворителя необходимо произвести тщательное перемешивание состава до полной однородности.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3.5</w:t>
      </w:r>
      <w:r>
        <w:rPr>
          <w:lang w:val="ru-RU"/>
        </w:rPr>
        <w:tab/>
        <w:t xml:space="preserve">Условия нанесения комбинированной системы.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3.5.1</w:t>
      </w:r>
      <w:r>
        <w:rPr>
          <w:lang w:val="ru-RU"/>
        </w:rPr>
        <w:tab/>
        <w:t xml:space="preserve">Рекомендуемые условия нанесения состава и формирования покрытия</w:t>
      </w:r>
      <w:r>
        <w:rPr>
          <w:lang w:val="ru-RU"/>
        </w:rPr>
      </w:r>
    </w:p>
    <w:p>
      <w:pPr>
        <w:numPr>
          <w:ilvl w:val="0"/>
          <w:numId w:val="2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температура воздуха должна быть не ниже минус 15ºС;</w:t>
      </w:r>
      <w:r>
        <w:rPr>
          <w:lang w:val="ru-RU"/>
        </w:rPr>
      </w:r>
    </w:p>
    <w:p>
      <w:pPr>
        <w:numPr>
          <w:ilvl w:val="0"/>
          <w:numId w:val="2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влажность окружающего воздуха не более 85%;</w:t>
      </w:r>
      <w:r>
        <w:rPr>
          <w:lang w:val="ru-RU"/>
        </w:rPr>
      </w:r>
    </w:p>
    <w:p>
      <w:pPr>
        <w:numPr>
          <w:ilvl w:val="0"/>
          <w:numId w:val="2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температура окрашиваемой поверхности конструкций должна быть не менее чем на 3ºС выше точки росы;</w:t>
      </w:r>
      <w:r>
        <w:rPr>
          <w:lang w:val="ru-RU"/>
        </w:rPr>
      </w:r>
    </w:p>
    <w:p>
      <w:pPr>
        <w:numPr>
          <w:ilvl w:val="0"/>
          <w:numId w:val="2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обрабатываемые конструкции должны быть защищены от атмосферных осадков, либо иного попадания влаги, не допускается нанесение состава по влажным поверхностям, поверхностям со следами инея, снега, наледи;</w:t>
      </w:r>
      <w:r>
        <w:rPr>
          <w:lang w:val="ru-RU"/>
        </w:rPr>
      </w:r>
    </w:p>
    <w:p>
      <w:pPr>
        <w:numPr>
          <w:ilvl w:val="0"/>
          <w:numId w:val="2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не допускается попадание атмосферных осадков на покрытие во время его формирвоания.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</w:t>
      </w:r>
      <w:r>
        <w:rPr>
          <w:lang w:val="ru-RU"/>
        </w:rPr>
        <w:tab/>
        <w:t xml:space="preserve">Порядок нанесения комбинированной системы.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3.6.1</w:t>
      </w:r>
      <w:r>
        <w:rPr>
          <w:lang w:val="ru-RU"/>
        </w:rPr>
        <w:tab/>
        <w:t xml:space="preserve">Состав «ТЕХНО-ОК1» наносится механизировано при </w:t>
      </w:r>
      <w:r>
        <w:rPr>
          <w:lang w:val="ru-RU"/>
        </w:rPr>
        <w:t xml:space="preserve">помощи агрегатов безвоздушного распыления поршневого типа «Graco» или «Wagner» с передаточным отношением 45:1, производительностью не менее 8 л/мин. Рекомендуемые параметры аппаратов безвоздушного распыления для нанесения состава представлены в таблице №3.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Таблица №3</w:t>
      </w:r>
      <w:r>
        <w:rPr>
          <w:lang w:val="ru-RU"/>
        </w:rPr>
      </w:r>
    </w:p>
    <w:tbl>
      <w:tblPr>
        <w:tblW w:w="8651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4678"/>
        <w:gridCol w:w="397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Рабочее давление, атм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200-230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Диаметр сопла краскопульта, дюйм (мм)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0,23-0,27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Угол распыления, градус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20-30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Диаметр подающего шланга, мм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Длина подающего шланга, 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максимально 30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3.6.2</w:t>
      </w:r>
      <w:r>
        <w:rPr>
          <w:lang w:val="ru-RU"/>
        </w:rPr>
        <w:tab/>
        <w:t xml:space="preserve">Краска ТЕХНО-АТМ1» наносится механизировано при</w:t>
      </w:r>
      <w:r>
        <w:rPr>
          <w:lang w:val="ru-RU"/>
        </w:rPr>
        <w:t xml:space="preserve"> помощи агрегатов безвоздушного распыления поршневого типа «Graco» или «Wagner» с передаточным отношением 45:1, производительностью не менее 5 л/мин. Рекомендуемые параметры аппаратов безвоздушного распыления для нанесения краски представлены в таблице №4.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Таблица №4</w:t>
      </w:r>
      <w:r>
        <w:rPr>
          <w:lang w:val="ru-RU"/>
        </w:rPr>
      </w:r>
    </w:p>
    <w:tbl>
      <w:tblPr>
        <w:tblW w:w="8651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4678"/>
        <w:gridCol w:w="397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Рабочее давление, атм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0-210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Диаметр сопла краскопульта, дюйм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0,2</w:t>
            </w:r>
            <w:r>
              <w:rPr>
                <w:lang w:val="en-US"/>
              </w:rPr>
              <w:t xml:space="preserve">3</w:t>
            </w:r>
            <w:r>
              <w:t xml:space="preserve">-0,</w:t>
            </w:r>
            <w:r>
              <w:rPr>
                <w:lang w:val="en-US"/>
              </w:rPr>
              <w:t xml:space="preserve">35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Угол распыления, градус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20-40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Диаметр подающего шланга, мм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jc w:val="center"/>
            </w:pPr>
            <w:r>
              <w:t xml:space="preserve">Длина подающего шланга, 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3" w:type="dxa"/>
            <w:textDirection w:val="lrTb"/>
            <w:noWrap w:val="false"/>
          </w:tcPr>
          <w:p>
            <w:pPr>
              <w:jc w:val="center"/>
            </w:pPr>
            <w:r>
              <w:t xml:space="preserve">максимально 30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3.6.3</w:t>
      </w:r>
      <w:r>
        <w:rPr>
          <w:lang w:val="ru-RU"/>
        </w:rPr>
        <w:tab/>
        <w:t xml:space="preserve">Не допускается нанесение составляющих системы при помощи пневматического распыления!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3.6.4</w:t>
      </w:r>
      <w:r>
        <w:rPr>
          <w:lang w:val="ru-RU"/>
        </w:rPr>
        <w:tab/>
        <w:t xml:space="preserve">Допускается нанесение составляющих системы вручную при помощи кистей или валиков в труднодоступных местах.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3.6.5</w:t>
      </w:r>
      <w:r>
        <w:rPr>
          <w:lang w:val="ru-RU"/>
        </w:rPr>
        <w:tab/>
        <w:t xml:space="preserve">Огнезащитный состав «ТЕХНО-ОК1» н</w:t>
      </w:r>
      <w:r>
        <w:rPr>
          <w:lang w:val="ru-RU"/>
        </w:rPr>
        <w:t xml:space="preserve">аносится послойно. При нанесении состава рекомендуемая толщина одного наносимого слоя не более 2,0 мм влажного покрытия (при неразбавленном покрытии и температуре 15-20ºС). Толщина влажного слоя краски контролируется при помощи толщиномера типа «гребенка».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3.6.6</w:t>
      </w:r>
      <w:r>
        <w:rPr>
          <w:lang w:val="ru-RU"/>
        </w:rPr>
        <w:tab/>
        <w:t xml:space="preserve">Последующие слои наносятся только на высушенный слой состава. Межслойная сушка покрытия составляет </w:t>
      </w:r>
      <w:r>
        <w:rPr>
          <w:lang w:val="ru-RU"/>
        </w:rPr>
        <w:t xml:space="preserve">не более 12 часов при температуре 20±2 °С и влажности не более 85%. При снижении температуры и увеличении влажности время сушки может увеличивается. Несоблюдение сроков межслойной сушки может привести к ухудшению заявленных свойств огнезащитного покрытия!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3.6.6</w:t>
      </w:r>
      <w:r>
        <w:rPr>
          <w:lang w:val="ru-RU"/>
        </w:rPr>
        <w:tab/>
        <w:t xml:space="preserve">Ориентировочное время межслойной сушки покрытия, нанесенного методом безвоздушного распыления при относительной влажности воздуха 85%, приведено в Таблице 5.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Таблица 5</w:t>
      </w:r>
      <w:r>
        <w:rPr>
          <w:lang w:val="ru-RU"/>
        </w:rPr>
      </w:r>
    </w:p>
    <w:tbl>
      <w:tblPr>
        <w:tblW w:w="8754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2268"/>
        <w:gridCol w:w="1276"/>
        <w:gridCol w:w="1276"/>
        <w:gridCol w:w="850"/>
        <w:gridCol w:w="1124"/>
        <w:gridCol w:w="990"/>
        <w:gridCol w:w="9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Температура воздуха, 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минус 15 – минус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-5 – </w:t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+5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+5 – </w:t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+15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+15- +25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+25-+30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lang w:val="en-US"/>
              </w:rPr>
              <w:t xml:space="preserve">&gt;</w:t>
            </w:r>
            <w:r>
              <w:rPr>
                <w:bCs/>
              </w:rPr>
              <w:t xml:space="preserve"> +30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Без воздухообмена, час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40-48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24-32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16-18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10-12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8-10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Воздухообмен не менее 2 м/с, час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30-36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12-16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10-12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8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3.6.7</w:t>
      </w:r>
      <w:r>
        <w:rPr>
          <w:lang w:val="ru-RU"/>
        </w:rPr>
        <w:tab/>
        <w:t xml:space="preserve">Время выдержки покры</w:t>
      </w:r>
      <w:r>
        <w:rPr>
          <w:lang w:val="ru-RU"/>
        </w:rPr>
        <w:t xml:space="preserve">тия на основе огнезащитного состава «ТЕХНО-ОК1» перед нанесением огнезащитной краски «ТЕХНО-АТМ» при температуре 20±5 °С и влажности не более 85% составляет не менее 24 часов. При снижении температуры и увеличении влажности время сушки может увеличивается.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3.6.8</w:t>
      </w:r>
      <w:r>
        <w:rPr>
          <w:lang w:val="ru-RU"/>
        </w:rPr>
        <w:tab/>
        <w:t xml:space="preserve">Огнезащитная краска «ТЕХНО-АТМ» н</w:t>
      </w:r>
      <w:r>
        <w:rPr>
          <w:lang w:val="ru-RU"/>
        </w:rPr>
        <w:t xml:space="preserve">аносится послойно. При нанесении краски рекомендуемая толщина одного наносимого слоя не более 1,0 мм влажного покрытия (при неразбавленном покрытии и температуре 15-20ºС). Толщина влажного слоя краски контролируется при помощи толщиномера типа «гребенка».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3.6.9</w:t>
      </w:r>
      <w:r>
        <w:rPr>
          <w:lang w:val="ru-RU"/>
        </w:rPr>
        <w:tab/>
        <w:t xml:space="preserve">Последующие слои наносятся только на высушенный слой краски. Межслойная сушка покрытия составляе</w:t>
      </w:r>
      <w:r>
        <w:rPr>
          <w:lang w:val="ru-RU"/>
        </w:rPr>
        <w:t xml:space="preserve">т не менее 6 часов при температуре 20±2 °С и влажности не более 85%. При снижении температуры и увеличении влажности время сушки может увеличивается. Несоблюдение сроков межслойной сушки может привести к ухудшению заявленных свойств огнезащитного покрытия!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3.6.10</w:t>
      </w:r>
      <w:r>
        <w:rPr>
          <w:lang w:val="ru-RU"/>
        </w:rPr>
        <w:tab/>
        <w:t xml:space="preserve">Ориентировочное время межслойной сушки покрытия, нанесенного методом безвоздушного распыления при относительной влажности воздуха 85%, приведено в Таблице 6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Таблица 6</w:t>
      </w:r>
      <w:r>
        <w:rPr>
          <w:lang w:val="ru-RU"/>
        </w:rPr>
      </w:r>
    </w:p>
    <w:tbl>
      <w:tblPr>
        <w:tblW w:w="8754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2268"/>
        <w:gridCol w:w="1276"/>
        <w:gridCol w:w="1276"/>
        <w:gridCol w:w="850"/>
        <w:gridCol w:w="1124"/>
        <w:gridCol w:w="990"/>
        <w:gridCol w:w="9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Температура воздуха, 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минус 15 – минус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+-5 – </w:t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+5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+5 – </w:t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+15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+15- +25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+25-+30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lang w:val="en-US"/>
              </w:rPr>
              <w:t xml:space="preserve">&gt;</w:t>
            </w:r>
            <w:r>
              <w:rPr>
                <w:bCs/>
              </w:rPr>
              <w:t xml:space="preserve"> +30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Без воздухообмена, час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24-48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18-24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8-12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6-8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4-6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Воздухообмен не менее 2 м/с, час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12-16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6-8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4-6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3-4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3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3.6.11</w:t>
      </w:r>
      <w:r>
        <w:rPr>
          <w:lang w:val="ru-RU"/>
        </w:rPr>
        <w:tab/>
        <w:t xml:space="preserve">Общая толщина наносимого покрытия зависит от требуемого предела огнестойкости конструкции и приведенной толщины металла конструкции.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3.6.12</w:t>
      </w:r>
      <w:r>
        <w:rPr>
          <w:lang w:val="ru-RU"/>
        </w:rPr>
        <w:tab/>
        <w:t xml:space="preserve">Огнезащитная эффективность покрытия состава зависит от толщины нанесенного покрытия  и приведенной толщины металла конструкции:</w:t>
      </w:r>
      <w:r>
        <w:rPr>
          <w:lang w:val="ru-RU"/>
        </w:rPr>
      </w:r>
    </w:p>
    <w:p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3-я группа огнезащитной эффективности (90 минут) при толщине сухого слоя покрытия огнезащитного состава «ТЕХНО-ОК1» не менее 3,0 мм (теоретический расход не менее 3,0 кг/м</w:t>
      </w:r>
      <w:r>
        <w:rPr>
          <w:vertAlign w:val="superscript"/>
          <w:lang w:val="ru-RU"/>
        </w:rPr>
        <w:t xml:space="preserve">2</w:t>
      </w:r>
      <w:r>
        <w:rPr>
          <w:lang w:val="ru-RU"/>
        </w:rPr>
        <w:t xml:space="preserve">) и толщине сухого слоя покрытия огнезащитной краски «ТЕХНО-АТМ» не менее 1,2 мм (теоретический расход не менее 1,87 кг/м</w:t>
      </w:r>
      <w:r>
        <w:rPr>
          <w:vertAlign w:val="superscript"/>
          <w:lang w:val="ru-RU"/>
        </w:rPr>
        <w:t xml:space="preserve">2</w:t>
      </w:r>
      <w:r>
        <w:rPr>
          <w:lang w:val="ru-RU"/>
        </w:rPr>
        <w:t xml:space="preserve">) при приведенной толщине металла 3,4 мм, общая толщина покрытия не менее 4,2 мм;</w:t>
      </w:r>
      <w:r>
        <w:rPr>
          <w:lang w:val="ru-RU"/>
        </w:rPr>
      </w:r>
    </w:p>
    <w:p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1-я группа огнезащитной эффективности (150 минут) при толщине сухого слоя покрытия огнезащитного состава «ТЕХНО-ОК1» не менее 6,2 мм (теоретический расход не менее 6,2 кг/м</w:t>
      </w:r>
      <w:r>
        <w:rPr>
          <w:vertAlign w:val="superscript"/>
          <w:lang w:val="ru-RU"/>
        </w:rPr>
        <w:t xml:space="preserve">2</w:t>
      </w:r>
      <w:r>
        <w:rPr>
          <w:lang w:val="ru-RU"/>
        </w:rPr>
        <w:t xml:space="preserve">) и толщине сухого слоя покрытия огнезащитной краски «ТЕХНО-АТМ» не менее 2,4 мм (теоретический расход не менее 3,75 кг/м</w:t>
      </w:r>
      <w:r>
        <w:rPr>
          <w:vertAlign w:val="superscript"/>
          <w:lang w:val="ru-RU"/>
        </w:rPr>
        <w:t xml:space="preserve">2</w:t>
      </w:r>
      <w:r>
        <w:rPr>
          <w:lang w:val="ru-RU"/>
        </w:rPr>
        <w:t xml:space="preserve">) при приведенной толщине металла 3,4 мм, общая толщина покрытия не менее 8,6 мм;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3.7</w:t>
      </w:r>
      <w:r>
        <w:rPr>
          <w:lang w:val="ru-RU"/>
        </w:rPr>
        <w:tab/>
        <w:t xml:space="preserve">Окончательное время формирования покрытия не более 14 суток (в зависимости от толщины покрытия) при температуре 20±2 °С и влажности не более 85%.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3.7.1</w:t>
      </w:r>
      <w:r>
        <w:rPr>
          <w:lang w:val="ru-RU"/>
        </w:rPr>
        <w:tab/>
        <w:t xml:space="preserve">Ориентировочное время полного формирования покрытия, нанесенного методом безвоздушного распыления при относительной влажности воздуха 85%, приведено в Таблице </w:t>
      </w:r>
      <w:r>
        <w:rPr>
          <w:lang w:val="ru-RU"/>
        </w:rPr>
        <w:t xml:space="preserve">7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Таблица </w:t>
      </w:r>
      <w:r>
        <w:rPr>
          <w:lang w:val="ru-RU"/>
        </w:rPr>
        <w:t xml:space="preserve">7</w:t>
      </w:r>
      <w:r>
        <w:rPr>
          <w:lang w:val="ru-RU"/>
        </w:rPr>
      </w:r>
    </w:p>
    <w:tbl>
      <w:tblPr>
        <w:tblW w:w="8754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2054"/>
        <w:gridCol w:w="1020"/>
        <w:gridCol w:w="1093"/>
        <w:gridCol w:w="1421"/>
        <w:gridCol w:w="1206"/>
        <w:gridCol w:w="990"/>
        <w:gridCol w:w="9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4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Температура воздуха, 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минус 15 – минус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+-5 – </w:t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+5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+5 – </w:t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+15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+15- +25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+25-+30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lang w:val="en-US"/>
              </w:rPr>
              <w:t xml:space="preserve">&gt;</w:t>
            </w:r>
            <w:r>
              <w:rPr>
                <w:bCs/>
              </w:rPr>
              <w:t xml:space="preserve"> +30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4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Без воздухообмена, сутки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21-24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18-21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16-18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8-10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4" w:type="dxa"/>
            <w:vAlign w:val="center"/>
            <w:textDirection w:val="lrTb"/>
            <w:noWrap w:val="false"/>
          </w:tcPr>
          <w:p>
            <w:r>
              <w:rPr>
                <w:bCs/>
              </w:rPr>
              <w:t xml:space="preserve">Воздухообмен не менее 2 м/с, сутки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16-18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14-16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11-12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9-10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8</w:t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3.8</w:t>
      </w:r>
      <w:r>
        <w:rPr>
          <w:lang w:val="ru-RU"/>
        </w:rPr>
        <w:tab/>
        <w:t xml:space="preserve">Очистка инструментов после работы производится растворителем – толуол, «Р-4», «Р-646».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4</w:t>
      </w:r>
      <w:r>
        <w:rPr>
          <w:b/>
          <w:bCs/>
          <w:lang w:val="ru-RU"/>
        </w:rPr>
        <w:tab/>
        <w:t xml:space="preserve">Контроль выполняемых работ по нанесению огнезащитной системы.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4.1</w:t>
      </w:r>
      <w:r>
        <w:rPr>
          <w:lang w:val="ru-RU"/>
        </w:rPr>
        <w:tab/>
        <w:t xml:space="preserve">Работы по подготовке поверхности фиксируются с обязательным составлением акта скрытых работ.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4.2</w:t>
      </w:r>
      <w:r>
        <w:rPr>
          <w:lang w:val="ru-RU"/>
        </w:rPr>
        <w:tab/>
        <w:t xml:space="preserve">Работы по антикоррозионной обработке (грунтованию) металлической поверхности фиксируются с обязательным составлением акта скрытых работ.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4.3</w:t>
      </w:r>
      <w:r>
        <w:rPr>
          <w:lang w:val="ru-RU"/>
        </w:rPr>
        <w:tab/>
        <w:t xml:space="preserve">Контроль при нанесении огнезащитной системы включает в себя контроль расхода огнезащитного состава, толщины наносимого слоя и внешнего вида покрытия.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4.3.1</w:t>
      </w:r>
      <w:r>
        <w:rPr>
          <w:lang w:val="ru-RU"/>
        </w:rPr>
        <w:tab/>
        <w:t xml:space="preserve">Контроль производится постоянно бригадиром (мастером, прорабом) в ходе производства работ.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4.3.2</w:t>
      </w:r>
      <w:r>
        <w:rPr>
          <w:lang w:val="ru-RU"/>
        </w:rPr>
        <w:tab/>
        <w:t xml:space="preserve">Расход состава и расход огнезащитной краски фиксируется ежедневно с занесением результата в журнал производственных работ (при его наличии).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4.3.3</w:t>
      </w:r>
      <w:r>
        <w:rPr>
          <w:lang w:val="ru-RU"/>
        </w:rPr>
        <w:tab/>
        <w:t xml:space="preserve">Толщина наносимого «мокрого» слоя производится постоянно в ходе нанесения состава. Изме</w:t>
      </w:r>
      <w:r>
        <w:rPr>
          <w:lang w:val="ru-RU"/>
        </w:rPr>
        <w:t xml:space="preserve">рение толщины высушенного покрытия производится толщиномерами типа «гребенка». Измерение толщины высушенного покрытия производится магнитными толщиномерами неразрушающего контроля. Используемое оборудование должно иметь действующее свидетельство о поверке.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4.3.4</w:t>
      </w:r>
      <w:r>
        <w:rPr>
          <w:lang w:val="ru-RU"/>
        </w:rPr>
        <w:tab/>
        <w:t xml:space="preserve">Внешний вид покрытия оценивается визуа</w:t>
      </w:r>
      <w:r>
        <w:rPr>
          <w:lang w:val="ru-RU"/>
        </w:rPr>
        <w:t xml:space="preserve">льно. Цвет и блеск покрытия должен соответствовать значениям указанным в Таблице №1 и Таблице №2. Покрытие должно быть однородным без трещин и отслоений на все площади покрытия. Допускаются отдельные дефекты покрытия - потеки, шагрень, небольшие включения.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4.4</w:t>
      </w:r>
      <w:r>
        <w:rPr>
          <w:lang w:val="ru-RU"/>
        </w:rPr>
        <w:tab/>
        <w:t xml:space="preserve">Итоговый контроль.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4.4.1</w:t>
      </w:r>
      <w:r>
        <w:rPr>
          <w:lang w:val="ru-RU"/>
        </w:rPr>
        <w:tab/>
        <w:t xml:space="preserve">Итоговый контроль производится только после окончательного формирования покрытия, согласно п. 3.7 настоящей инструкции.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4.4.2</w:t>
      </w:r>
      <w:r>
        <w:rPr>
          <w:lang w:val="ru-RU"/>
        </w:rPr>
        <w:tab/>
        <w:t xml:space="preserve">Итоговый контроль включает в себе оценку итоговой толщины покрытия и его внешнего вида.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4.4.3</w:t>
      </w:r>
      <w:r>
        <w:rPr>
          <w:lang w:val="ru-RU"/>
        </w:rPr>
        <w:tab/>
        <w:t xml:space="preserve">Внешний вид покрытия оценивают визуально. Покрытие должно иметь однородную поверхность без трещин и отслоений. Допускаются отдельные дефекты покрытия - потеки, шагрень, небольшие включения.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4.4.4</w:t>
      </w:r>
      <w:r>
        <w:rPr>
          <w:lang w:val="ru-RU"/>
        </w:rPr>
        <w:tab/>
        <w:t xml:space="preserve">Измерение толщины готового покрытия производится магнитными толщиномерами неразрушающего контроля. Используемое оборуд</w:t>
      </w:r>
      <w:r>
        <w:rPr>
          <w:lang w:val="ru-RU"/>
        </w:rPr>
        <w:t xml:space="preserve">ование должно иметь действующее свидетельство о поверке. Точки измерения должны быть свободными от дефектов поверхности и расположены на расстоянии не менее 20 мм от края огнезащитного покрытия на расстоянии 50-100 мм друг от друга. Учитывая разброс показа</w:t>
      </w:r>
      <w:r>
        <w:rPr>
          <w:lang w:val="ru-RU"/>
        </w:rPr>
        <w:t xml:space="preserve">ний, необходимо проводить 5-10 измерений на каждом контрольном участке, чтобы получить локальную толщину как среднеарифметическое значение результатов ряда измерений. Итоговая средняя толщина покрытия должна соответствовать значениям по проекту огнезащиты.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5</w:t>
      </w:r>
      <w:r>
        <w:rPr>
          <w:b/>
          <w:bCs/>
          <w:lang w:val="ru-RU"/>
        </w:rPr>
        <w:tab/>
        <w:t xml:space="preserve">Указания по эксплуатации покрытия.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5.1</w:t>
      </w:r>
      <w:r>
        <w:rPr>
          <w:lang w:val="ru-RU"/>
        </w:rPr>
        <w:tab/>
        <w:t xml:space="preserve">Покрытие на основе огнезащитной системы краски «ТЕХНО-</w:t>
      </w:r>
      <w:r>
        <w:rPr>
          <w:lang w:val="ru-RU"/>
        </w:rPr>
        <w:t xml:space="preserve">КМБ» может эксплуатироваться во всех типах зданий и сооружений, в условиях открытой атмосферы, в различных климатических зонах, а также в условиях промышленной атмосферы (в условиях слабой или средней коррозионной активности, от С-1 до С3 по ISO 12944-2). 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5.2</w:t>
      </w:r>
      <w:r>
        <w:rPr>
          <w:lang w:val="ru-RU"/>
        </w:rPr>
        <w:tab/>
        <w:t xml:space="preserve">Температурный режим эксплуатации огнезащитного покрытия от минус 50 до плюс 50ºС. Допускается эксплуатация при влажности до 100%.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5.3</w:t>
      </w:r>
      <w:r>
        <w:rPr>
          <w:lang w:val="ru-RU"/>
        </w:rPr>
        <w:tab/>
        <w:t xml:space="preserve">Допускается эксплуатация огнезащитного покрытия в условиях воздействиях сильноагрессивн</w:t>
      </w:r>
      <w:r>
        <w:rPr>
          <w:lang w:val="ru-RU"/>
        </w:rPr>
        <w:t xml:space="preserve">ых химических сред, а также в условиях высокой коррозионной активности, от С-4 до С5 по ISO 12944-2. При эксплуатации покрытия в вышеуказанных условиях необходимо нанесение защитно-декоративного покрытия. Рекомендуемые марки защитно-декоративных покрытий –</w:t>
      </w:r>
      <w:r>
        <w:rPr>
          <w:lang w:val="ru-RU"/>
        </w:rPr>
        <w:t xml:space="preserve"> грунт эмаль «СТОПКОР 100» (ТУ 20.30.22-105-28451069-2022), эмаль «СТОПКОР 300» (ТУ 20.30.22-104-28451069-2022). Марка защитно-декоративного слоя выбирается исходя из условий эксплуатации покрытия и должна быть согласованна со специалистами ООО «МО АЛИАЛ».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5.4</w:t>
      </w:r>
      <w:r>
        <w:rPr>
          <w:lang w:val="ru-RU"/>
        </w:rPr>
        <w:tab/>
        <w:t xml:space="preserve">Нанесение защитно-декоративных покрытий допускается не ранее полного формирования покрытия согласно п 3.7 настоящей инструкции.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5.7</w:t>
      </w:r>
      <w:r>
        <w:rPr>
          <w:lang w:val="ru-RU"/>
        </w:rPr>
        <w:tab/>
        <w:t xml:space="preserve">При необходимости ремонта огнезащитного покрытия поврежденные участки зачищаются до грунт</w:t>
      </w:r>
      <w:r>
        <w:rPr>
          <w:lang w:val="ru-RU"/>
        </w:rPr>
        <w:t xml:space="preserve">овочного слоя при помощи шлифовальных машинок или вручную (металлической щеткой). В случае если грунтовочный слой поврежден, либо есть следы коррозии производится подготовка поверхности согласно настоящей инструкции. На подготовленные участки поверхности н</w:t>
      </w:r>
      <w:r>
        <w:rPr>
          <w:lang w:val="ru-RU"/>
        </w:rPr>
        <w:t xml:space="preserve">аносится огнезащитный состав м и огнезащитная краска «ТЕХНО-АТМ» необходимой проектной толщины. Состав наносится с перекрытием примыкающего покрытия не менее чем на 100 мм Ремонт покрытия производится только с применением составляющих огнезащитной системы.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6</w:t>
      </w:r>
      <w:r>
        <w:rPr>
          <w:b/>
          <w:bCs/>
          <w:lang w:val="ru-RU"/>
        </w:rPr>
        <w:tab/>
        <w:t xml:space="preserve">Транспортирование и хранение огнезащитного состава и огнезащитной краски.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6.1</w:t>
      </w:r>
      <w:r>
        <w:rPr>
          <w:lang w:val="ru-RU"/>
        </w:rPr>
        <w:tab/>
        <w:t xml:space="preserve">Транспортирование и хранение компонентов огнезащитной системы производится только в таре завода-изготовителя в соответствии с требованиями ГОСТ 9980.5, ТУ 20.30.11-109-28451069-2023 и ТУ 20.30.12-110-28451069-2024.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6.2</w:t>
      </w:r>
      <w:r>
        <w:rPr>
          <w:lang w:val="ru-RU"/>
        </w:rPr>
        <w:tab/>
        <w:t xml:space="preserve">Краску «ТЕХНО-АТМ» и состав «ТЕХНО-ОК1» транспортирую</w:t>
      </w:r>
      <w:r>
        <w:rPr>
          <w:lang w:val="ru-RU"/>
        </w:rPr>
        <w:t xml:space="preserve">т в крытых транспортных средствах в соответствии с правилами перевозок грузов, действующих на данном виде транспорта. Транспортирование в крытых железнодорожных вагонах производится в соответствии с правилами утвержденными Министерством путей сообщения РФ.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6.3</w:t>
      </w:r>
      <w:r>
        <w:rPr>
          <w:lang w:val="ru-RU"/>
        </w:rPr>
        <w:tab/>
        <w:t xml:space="preserve">При транспортировании, осуществлении погрузки и выгрузки продукции должны быть приняты меры, предохраняющие тару от механических повреждений, воздействия атмосферных осадков, химически активных веществ.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6.4</w:t>
      </w:r>
      <w:r>
        <w:rPr>
          <w:lang w:val="ru-RU"/>
        </w:rPr>
        <w:tab/>
        <w:t xml:space="preserve">При транспортировке и хранении продукцию устанавливают высотою «в один или в два ведра». Допускается установка в «три ведра» при условии, если в ходе транспортировки и хранения не нарушается целостность тары предприятия-изготовителя.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6.5</w:t>
      </w:r>
      <w:r>
        <w:rPr>
          <w:lang w:val="ru-RU"/>
        </w:rPr>
        <w:tab/>
        <w:t xml:space="preserve">Продукция транспортируется и храниться в упаковке произв</w:t>
      </w:r>
      <w:r>
        <w:rPr>
          <w:lang w:val="ru-RU"/>
        </w:rPr>
        <w:t xml:space="preserve">одителя при температуре воздуха от минус 30 до плюс 50°С и влажности окружающего воздуха не выше 85%. Краска «ТЕХНО-АТМ» и состав «ТЕХНО-ОК1» храниться в закрытом сухом помещении в упаковке производителя на расстоянии не менее 1 м от отопительных приборов.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6.6</w:t>
      </w:r>
      <w:r>
        <w:rPr>
          <w:lang w:val="ru-RU"/>
        </w:rPr>
        <w:tab/>
        <w:t xml:space="preserve">Не допускается контакт тары с водой и химически активными веществами.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6.7</w:t>
      </w:r>
      <w:r>
        <w:rPr>
          <w:lang w:val="ru-RU"/>
        </w:rPr>
        <w:tab/>
        <w:t xml:space="preserve">Не допускается хранение продукции под воздействием прямых солнечных лучей вблизи источников открытого огня и проведения сварочных работ.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7</w:t>
      </w:r>
      <w:r>
        <w:rPr>
          <w:b/>
          <w:bCs/>
          <w:lang w:val="ru-RU"/>
        </w:rPr>
        <w:tab/>
        <w:t xml:space="preserve">Требования техники безопасности.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7.1</w:t>
      </w:r>
      <w:r>
        <w:rPr>
          <w:lang w:val="ru-RU"/>
        </w:rPr>
        <w:tab/>
        <w:t xml:space="preserve">Состав «ТЕХНО-ОК1» и краска «ТЕХНО-АТМ» в жидком виде является пожаро- и взрывоопасной продукцией. Запрещается проводить работы вблизи источников сварочных работ и источников открытого огня!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7.2</w:t>
      </w:r>
      <w:r>
        <w:rPr>
          <w:lang w:val="ru-RU"/>
        </w:rPr>
        <w:tab/>
        <w:t xml:space="preserve">В целях профилактики неблагоприятного воздействия вредных веществ лица, задействованные в производстве, испытании</w:t>
      </w:r>
      <w:r>
        <w:rPr>
          <w:lang w:val="ru-RU"/>
        </w:rPr>
        <w:t xml:space="preserve"> и применении состава и краски, должны быть обеспечены средствами индивидуальной защиты по ГОСТ 12.4.103-83 и ГОСТ 12.4.011-89: защитными очками,  защитными мазями и пастами по ГОСТ 12.4.068-79, резиновыми перчатками согласно ГОСТ 12.4.252-2013, респиратор</w:t>
      </w:r>
      <w:r>
        <w:rPr>
          <w:lang w:val="ru-RU"/>
        </w:rPr>
        <w:t xml:space="preserve">ами фильтрующего типа «РПГ-67» или «РУ-60М» с аэрозольным фильтром по ГОСТ 12.4.296-2015 (или аналогичные по классу защиты), а также спецодеждой (хлопчатобумажные комбинезоны, костюмы, халаты). Все применяемые СИЗ должны отвечать требованиям ГОСТ 12.4.011.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7.3</w:t>
      </w:r>
      <w:r>
        <w:rPr>
          <w:lang w:val="ru-RU"/>
        </w:rPr>
        <w:tab/>
        <w:t xml:space="preserve">При работе с оборудованием необходимо соблюдать требования безопасности, предусмотренные в инструкциях по эксплуатации данного оборудования.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7.4</w:t>
      </w:r>
      <w:r>
        <w:rPr>
          <w:lang w:val="ru-RU"/>
        </w:rPr>
        <w:tab/>
        <w:t xml:space="preserve">К работе допускаются лица не моложе 18 лет, прошедшие предварительный и периодические медицинские осмотры.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7.5</w:t>
      </w:r>
      <w:r>
        <w:rPr>
          <w:lang w:val="ru-RU"/>
        </w:rPr>
        <w:tab/>
        <w:t xml:space="preserve">Перед началом работы необходимо проводить инструктаж рабочих непосредственно на рабочем месте. Проведение инструктажа регистрируется в специальном журнале и подтверждается подписью рабочего, прошедшего инструктаж.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7.6</w:t>
      </w:r>
      <w:r>
        <w:rPr>
          <w:lang w:val="ru-RU"/>
        </w:rPr>
        <w:tab/>
        <w:t xml:space="preserve">В ходе работ по нанесению огнезащитного состава категорически запрещается принимать пищу, пить и курить. По окончании рабо</w:t>
      </w:r>
      <w:r>
        <w:rPr>
          <w:lang w:val="ru-RU"/>
        </w:rPr>
        <w:t xml:space="preserve">т необходимо вымыть лицо и руки водой с мылом. Избегать попадания огнезащитного состава и огнезащитной краски на кожу, в глаза, рот. При попадании на кожу рук следует немедленно удалить состав/краску при помощи чистой ветоши, а затем смыть теплой водой с м</w:t>
      </w:r>
      <w:r>
        <w:rPr>
          <w:lang w:val="ru-RU"/>
        </w:rPr>
        <w:t xml:space="preserve">ылом. При попадании в глаза – промывать водой в течение 10-15 минут. При проглатывании - обильное питьё воды, активированный уголь. При возникновении неприятных ощущений немедленно обратиться к врачу. Не допускается самостоятельно вызывать рвотный рефлекс.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7.7</w:t>
      </w:r>
      <w:r>
        <w:rPr>
          <w:lang w:val="ru-RU"/>
        </w:rPr>
        <w:tab/>
        <w:t xml:space="preserve">Продукция относится к 3-му классу опасности (умеренно опасные) по ГОСТ 12.1.007.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7.7</w:t>
      </w:r>
      <w:r>
        <w:rPr>
          <w:lang w:val="ru-RU"/>
        </w:rPr>
        <w:tab/>
        <w:t xml:space="preserve">Огнезащитное покрытие на основе системы является пожаро- и взрывобезопасным. В процессе эксплуатации покрытие на основе состава не оказывает вредного воздействия на здоровье человека и окружающую среду.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b/>
          <w:bCs/>
          <w:lang w:val="ru-RU"/>
        </w:rPr>
        <w:t xml:space="preserve">8</w:t>
      </w:r>
      <w:r>
        <w:rPr>
          <w:b/>
          <w:bCs/>
          <w:lang w:val="ru-RU"/>
        </w:rPr>
        <w:tab/>
        <w:t xml:space="preserve">Гарантии изготовителя.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8.1</w:t>
      </w:r>
      <w:r>
        <w:rPr>
          <w:lang w:val="ru-RU"/>
        </w:rPr>
        <w:tab/>
        <w:t xml:space="preserve">Гарантийный срок хранения состава «ТЕХНО-ОК1»</w:t>
      </w:r>
      <w:r>
        <w:rPr>
          <w:lang w:val="ru-RU"/>
        </w:rPr>
        <w:t xml:space="preserve"> и огнезащитной краски «ТЕХНО-АТМ» при соблюдении условий транспортирования и хранения, указанных в настоящем регламенте (инструкции), составляет 12 месяцев. По истечении срока хранения продукция может быть использована по назначению только после предварит</w:t>
      </w:r>
      <w:r>
        <w:rPr>
          <w:lang w:val="ru-RU"/>
        </w:rPr>
        <w:t xml:space="preserve">ельной проверки ее качества на соответствие требованиям технических условий. Проверка производится только с согласования завода-изготовителя. При несоответствии продукции требованиям ТУ ее утилизируют по Договору в места, согласованные с Роспотребнадзором.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8.2</w:t>
      </w:r>
      <w:r>
        <w:rPr>
          <w:lang w:val="ru-RU"/>
        </w:rPr>
        <w:tab/>
        <w:t xml:space="preserve">Ожидаемый срок службы огнезащитного покрытия на основе системы «ТЕХНО-КМБ», нанесенной на конструкции в строгом соответствии с настоящей инструкцией по нанесению составляет:</w:t>
      </w:r>
      <w:r>
        <w:rPr>
          <w:lang w:val="ru-RU"/>
        </w:rPr>
      </w:r>
    </w:p>
    <w:p>
      <w:pPr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при эксплуатации в закрытых отапливаемых помещениях при температуре 20ºС и влажности окружающего воздуха не выше 85% не менее 25 лет;</w:t>
      </w:r>
      <w:r>
        <w:rPr>
          <w:lang w:val="ru-RU"/>
        </w:rPr>
      </w:r>
    </w:p>
    <w:p>
      <w:pPr>
        <w:numPr>
          <w:ilvl w:val="0"/>
          <w:numId w:val="4"/>
        </w:numPr>
        <w:tabs>
          <w:tab w:val="left" w:pos="709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при эксплуатации в закрытых помещениях при температуре от минус 30 до плюс 50ºС и влажности окружающего воздуха не выше 85% не более 15 лет;</w:t>
      </w:r>
      <w:r>
        <w:rPr>
          <w:lang w:val="ru-RU"/>
        </w:rPr>
      </w:r>
    </w:p>
    <w:p>
      <w:pPr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при эксплуатации при температуре до минус 50ºС, при влажности выше 85%, под навесом или в условиях открытой атмосферы (согласно условий эксплуатации) не более 12 лет.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8.3</w:t>
      </w:r>
      <w:r>
        <w:rPr>
          <w:lang w:val="ru-RU"/>
        </w:rPr>
        <w:tab/>
        <w:t xml:space="preserve">Дополнительная информация предоставляется компанией производителем по письменному запросу.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8.4</w:t>
      </w:r>
      <w:r>
        <w:rPr>
          <w:lang w:val="ru-RU"/>
        </w:rPr>
        <w:tab/>
        <w:t xml:space="preserve">Компания ООО «МО АЛИАЛ» не несет ответственности за покрытие, нанесенное или эксплуатирующееся с нарушениями настоящей инструкции.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  <w:t xml:space="preserve"> </w:t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r/>
      <w:r/>
    </w:p>
    <w:p>
      <w:r/>
      <w:r/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9" w:h="16834" w:orient="portrait"/>
      <w:pgMar w:top="1440" w:right="1440" w:bottom="1440" w:left="1440" w:header="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-1440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7515683" cy="1260937"/>
              <wp:effectExtent l="0" t="0" r="0" b="0"/>
              <wp:docPr id="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15683" cy="126093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591.79pt;height:99.29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-1440" w:right="-144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margin">
                <wp:posOffset>-462279</wp:posOffset>
              </wp:positionH>
              <wp:positionV relativeFrom="margin">
                <wp:posOffset>156210</wp:posOffset>
              </wp:positionV>
              <wp:extent cx="6810375" cy="8469630"/>
              <wp:effectExtent l="0" t="0" r="0" b="0"/>
              <wp:wrapNone/>
              <wp:docPr id="1" name="WordPictureWatermark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810375" cy="8469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2" o:spid="_x0000_s0" type="#_x0000_t75" style="position:absolute;z-index:-251659264;o:allowoverlap:true;o:allowincell:true;mso-position-horizontal-relative:margin;margin-left:-36.40pt;mso-position-horizontal:absolute;mso-position-vertical-relative:margin;margin-top:12.30pt;mso-position-vertical:absolute;width:536.25pt;height:666.90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31510" cy="7131050"/>
              <wp:effectExtent l="0" t="0" r="0" b="0"/>
              <wp:wrapNone/>
              <wp:docPr id="2" name="WordPictureWatermark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31510" cy="713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1" o:spid="_x0000_s1" type="#_x0000_t75" style="position:absolute;z-index:-251658240;o:allowoverlap:true;o:allowincell:true;mso-position-horizontal-relative:margin;mso-position-horizontal:center;mso-position-vertical-relative:margin;mso-position-vertical:center;width:451.30pt;height:561.50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38"/>
    <w:link w:val="73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38"/>
    <w:link w:val="73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38"/>
    <w:link w:val="73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38"/>
    <w:link w:val="73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38"/>
    <w:link w:val="73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38"/>
    <w:link w:val="73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31"/>
    <w:next w:val="73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3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31"/>
    <w:next w:val="73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3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31"/>
    <w:next w:val="73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3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3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38"/>
    <w:link w:val="742"/>
    <w:uiPriority w:val="10"/>
    <w:rPr>
      <w:sz w:val="48"/>
      <w:szCs w:val="48"/>
    </w:rPr>
  </w:style>
  <w:style w:type="character" w:styleId="38">
    <w:name w:val="Subtitle Char"/>
    <w:basedOn w:val="738"/>
    <w:link w:val="743"/>
    <w:uiPriority w:val="11"/>
    <w:rPr>
      <w:sz w:val="24"/>
      <w:szCs w:val="24"/>
    </w:rPr>
  </w:style>
  <w:style w:type="paragraph" w:styleId="39">
    <w:name w:val="Quote"/>
    <w:basedOn w:val="731"/>
    <w:next w:val="73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31"/>
    <w:next w:val="73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38"/>
    <w:link w:val="744"/>
    <w:uiPriority w:val="99"/>
  </w:style>
  <w:style w:type="character" w:styleId="46">
    <w:name w:val="Footer Char"/>
    <w:basedOn w:val="738"/>
    <w:link w:val="746"/>
    <w:uiPriority w:val="99"/>
  </w:style>
  <w:style w:type="paragraph" w:styleId="47">
    <w:name w:val="Caption"/>
    <w:basedOn w:val="731"/>
    <w:next w:val="73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38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73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38"/>
    <w:uiPriority w:val="99"/>
    <w:unhideWhenUsed/>
    <w:rPr>
      <w:vertAlign w:val="superscript"/>
    </w:rPr>
  </w:style>
  <w:style w:type="paragraph" w:styleId="179">
    <w:name w:val="endnote text"/>
    <w:basedOn w:val="73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38"/>
    <w:uiPriority w:val="99"/>
    <w:semiHidden/>
    <w:unhideWhenUsed/>
    <w:rPr>
      <w:vertAlign w:val="superscript"/>
    </w:rPr>
  </w:style>
  <w:style w:type="paragraph" w:styleId="182">
    <w:name w:val="toc 1"/>
    <w:basedOn w:val="731"/>
    <w:next w:val="73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31"/>
    <w:next w:val="73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31"/>
    <w:next w:val="73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31"/>
    <w:next w:val="73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31"/>
    <w:next w:val="73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31"/>
    <w:next w:val="73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31"/>
    <w:next w:val="73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31"/>
    <w:next w:val="73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31"/>
    <w:next w:val="73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31"/>
    <w:next w:val="731"/>
    <w:uiPriority w:val="99"/>
    <w:unhideWhenUsed/>
    <w:pPr>
      <w:spacing w:after="0" w:afterAutospacing="0"/>
    </w:pPr>
  </w:style>
  <w:style w:type="paragraph" w:styleId="731" w:default="1">
    <w:name w:val="Normal"/>
    <w:qFormat/>
  </w:style>
  <w:style w:type="paragraph" w:styleId="732">
    <w:name w:val="Heading 1"/>
    <w:basedOn w:val="731"/>
    <w:next w:val="731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733">
    <w:name w:val="Heading 2"/>
    <w:basedOn w:val="731"/>
    <w:next w:val="731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734">
    <w:name w:val="Heading 3"/>
    <w:basedOn w:val="731"/>
    <w:next w:val="731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735">
    <w:name w:val="Heading 4"/>
    <w:basedOn w:val="731"/>
    <w:next w:val="731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736">
    <w:name w:val="Heading 5"/>
    <w:basedOn w:val="731"/>
    <w:next w:val="731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737">
    <w:name w:val="Heading 6"/>
    <w:basedOn w:val="731"/>
    <w:next w:val="731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738" w:default="1">
    <w:name w:val="Default Paragraph Font"/>
    <w:uiPriority w:val="1"/>
    <w:semiHidden/>
    <w:unhideWhenUsed/>
  </w:style>
  <w:style w:type="table" w:styleId="7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0" w:default="1">
    <w:name w:val="No List"/>
    <w:uiPriority w:val="99"/>
    <w:semiHidden/>
    <w:unhideWhenUsed/>
  </w:style>
  <w:style w:type="table" w:styleId="74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742">
    <w:name w:val="Title"/>
    <w:basedOn w:val="731"/>
    <w:next w:val="731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743">
    <w:name w:val="Subtitle"/>
    <w:basedOn w:val="731"/>
    <w:next w:val="731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paragraph" w:styleId="744">
    <w:name w:val="Header"/>
    <w:basedOn w:val="731"/>
    <w:link w:val="745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745" w:customStyle="1">
    <w:name w:val="Верхний колонтитул Знак"/>
    <w:basedOn w:val="738"/>
    <w:link w:val="744"/>
    <w:uiPriority w:val="99"/>
  </w:style>
  <w:style w:type="paragraph" w:styleId="746">
    <w:name w:val="Footer"/>
    <w:basedOn w:val="731"/>
    <w:link w:val="747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747" w:customStyle="1">
    <w:name w:val="Нижний колонтитул Знак"/>
    <w:basedOn w:val="738"/>
    <w:link w:val="74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3</dc:creator>
  <cp:lastModifiedBy>Дмитрий Макаров</cp:lastModifiedBy>
  <cp:revision>6</cp:revision>
  <dcterms:created xsi:type="dcterms:W3CDTF">2026-01-26T12:41:00Z</dcterms:created>
  <dcterms:modified xsi:type="dcterms:W3CDTF">2026-03-02T07:02:31Z</dcterms:modified>
</cp:coreProperties>
</file>